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F53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C4E79" w:rsidRPr="00100F53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E72529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 xml:space="preserve">по оформлению </w:t>
      </w:r>
      <w:r w:rsidR="00CB52D7" w:rsidRPr="00100F53">
        <w:rPr>
          <w:rFonts w:ascii="Times New Roman" w:hAnsi="Times New Roman" w:cs="Times New Roman"/>
          <w:b/>
          <w:sz w:val="24"/>
          <w:szCs w:val="24"/>
        </w:rPr>
        <w:t xml:space="preserve"> сметных расчетов на выполнение работ по техническому обслуживанию и ремонту электротехнического оборудования</w:t>
      </w:r>
      <w:r w:rsidR="008C0A75" w:rsidRPr="00100F5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5476" w:rsidRPr="00100F53" w:rsidRDefault="001B5476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Сметная документация, представляемая </w:t>
      </w:r>
      <w:r w:rsidR="004F55E0">
        <w:rPr>
          <w:rFonts w:ascii="Times New Roman" w:hAnsi="Times New Roman" w:cs="Times New Roman"/>
          <w:sz w:val="24"/>
          <w:szCs w:val="24"/>
        </w:rPr>
        <w:t>Участником</w:t>
      </w:r>
      <w:r w:rsidRPr="00100F53">
        <w:rPr>
          <w:rFonts w:ascii="Times New Roman" w:hAnsi="Times New Roman" w:cs="Times New Roman"/>
          <w:sz w:val="24"/>
          <w:szCs w:val="24"/>
        </w:rPr>
        <w:t>, должна быть составлена в двух уровнях цен:</w:t>
      </w:r>
    </w:p>
    <w:p w:rsidR="009C4E79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базисном уровне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2012 года</w:t>
      </w:r>
      <w:r w:rsidRPr="00100F53">
        <w:rPr>
          <w:rFonts w:ascii="Times New Roman" w:hAnsi="Times New Roman" w:cs="Times New Roman"/>
          <w:sz w:val="24"/>
          <w:szCs w:val="24"/>
        </w:rPr>
        <w:t xml:space="preserve">, определяемом на основе действующих сметных норм </w:t>
      </w:r>
      <w:r w:rsidR="00C9493D" w:rsidRPr="00100F53">
        <w:rPr>
          <w:rFonts w:ascii="Times New Roman" w:hAnsi="Times New Roman" w:cs="Times New Roman"/>
          <w:sz w:val="24"/>
          <w:szCs w:val="24"/>
        </w:rPr>
        <w:t>фирменной сметно-нормативной базе ОАО «Тюменьэнерго» и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>ах</w:t>
      </w:r>
      <w:r w:rsidRPr="00100F53">
        <w:rPr>
          <w:rFonts w:ascii="Times New Roman" w:hAnsi="Times New Roman" w:cs="Times New Roman"/>
          <w:sz w:val="24"/>
          <w:szCs w:val="24"/>
        </w:rPr>
        <w:t xml:space="preserve"> 2001 года </w:t>
      </w:r>
      <w:r w:rsidR="00340617" w:rsidRPr="00100F53">
        <w:rPr>
          <w:rFonts w:ascii="Times New Roman" w:hAnsi="Times New Roman" w:cs="Times New Roman"/>
          <w:sz w:val="24"/>
          <w:szCs w:val="24"/>
        </w:rPr>
        <w:t xml:space="preserve">при расчетах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ТЕР 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соответствующего субъекта РФ </w:t>
      </w:r>
      <w:r w:rsidR="002E3ABE" w:rsidRPr="00100F53">
        <w:rPr>
          <w:rFonts w:ascii="Times New Roman" w:hAnsi="Times New Roman" w:cs="Times New Roman"/>
          <w:sz w:val="24"/>
          <w:szCs w:val="24"/>
        </w:rPr>
        <w:t xml:space="preserve"> (или ФЕР) </w:t>
      </w:r>
      <w:r w:rsidR="00C9493D" w:rsidRPr="00100F53">
        <w:rPr>
          <w:rFonts w:ascii="Times New Roman" w:hAnsi="Times New Roman" w:cs="Times New Roman"/>
          <w:sz w:val="24"/>
          <w:szCs w:val="24"/>
        </w:rPr>
        <w:t>в редакции 2010 года</w:t>
      </w:r>
      <w:r w:rsidR="00EE023E" w:rsidRPr="00100F53">
        <w:rPr>
          <w:rFonts w:ascii="Times New Roman" w:hAnsi="Times New Roman" w:cs="Times New Roman"/>
          <w:sz w:val="24"/>
          <w:szCs w:val="24"/>
        </w:rPr>
        <w:t>.</w:t>
      </w:r>
    </w:p>
    <w:p w:rsidR="00C9493D" w:rsidRPr="00100F53" w:rsidRDefault="009C4E79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текущем уровне цен,  действующих на дату объявления торгов, с применением метода пересчета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базисного уровня цен  в текущие цены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 помощью индексов изменения сметной стоимости</w:t>
      </w:r>
      <w:r w:rsidR="00C9493D" w:rsidRPr="00100F53">
        <w:rPr>
          <w:rFonts w:ascii="Times New Roman" w:hAnsi="Times New Roman" w:cs="Times New Roman"/>
          <w:sz w:val="24"/>
          <w:szCs w:val="24"/>
        </w:rPr>
        <w:t>:</w:t>
      </w:r>
    </w:p>
    <w:p w:rsidR="009C4E79" w:rsidRPr="00100F53" w:rsidRDefault="009C4E79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разработанных к сметно-нормативной базе </w:t>
      </w:r>
      <w:r w:rsidR="00C9493D" w:rsidRPr="00100F53">
        <w:rPr>
          <w:rFonts w:ascii="Times New Roman" w:hAnsi="Times New Roman" w:cs="Times New Roman"/>
          <w:sz w:val="24"/>
          <w:szCs w:val="24"/>
        </w:rPr>
        <w:t>ОАО «Тюменьэнерго» 2012 года, утверждаемых ежегодно приказами ОАО «Тюменьэнерго» и размещаемыми на официальном сайте организации в разделе «Поставщикам»</w:t>
      </w:r>
      <w:r w:rsidR="00EE023E" w:rsidRPr="00100F53">
        <w:rPr>
          <w:rFonts w:ascii="Times New Roman" w:hAnsi="Times New Roman" w:cs="Times New Roman"/>
          <w:sz w:val="24"/>
          <w:szCs w:val="24"/>
        </w:rPr>
        <w:t>;</w:t>
      </w:r>
    </w:p>
    <w:p w:rsidR="009C4E79" w:rsidRDefault="00C9493D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разработанных к сметно-нормативной базе 2001 года с использованием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</w:t>
      </w:r>
      <w:r w:rsidR="009C4E79" w:rsidRPr="00100F5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при применении базисного уровня цен на основе  ТЕР </w:t>
      </w:r>
      <w:r w:rsidR="002E3ABE" w:rsidRPr="00100F53">
        <w:rPr>
          <w:rFonts w:ascii="Times New Roman" w:hAnsi="Times New Roman" w:cs="Times New Roman"/>
          <w:sz w:val="24"/>
          <w:szCs w:val="24"/>
        </w:rPr>
        <w:t>(ФЕР)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- индексов, рекомендуемых органами власти </w:t>
      </w:r>
      <w:r w:rsidRPr="00100F53">
        <w:rPr>
          <w:rFonts w:ascii="Times New Roman" w:hAnsi="Times New Roman" w:cs="Times New Roman"/>
          <w:sz w:val="24"/>
          <w:szCs w:val="24"/>
        </w:rPr>
        <w:t xml:space="preserve">соответствующих </w:t>
      </w:r>
      <w:r w:rsidR="009C4E79" w:rsidRPr="00100F53">
        <w:rPr>
          <w:rFonts w:ascii="Times New Roman" w:hAnsi="Times New Roman" w:cs="Times New Roman"/>
          <w:sz w:val="24"/>
          <w:szCs w:val="24"/>
        </w:rPr>
        <w:t>субъектов РФ (</w:t>
      </w:r>
      <w:r w:rsidRPr="00100F53">
        <w:rPr>
          <w:rFonts w:ascii="Times New Roman" w:hAnsi="Times New Roman" w:cs="Times New Roman"/>
          <w:sz w:val="24"/>
          <w:szCs w:val="24"/>
        </w:rPr>
        <w:t>Тюменская область, ХМАО-Югра, ЯНАО</w:t>
      </w:r>
      <w:r w:rsidR="009C4E79" w:rsidRPr="00100F53">
        <w:rPr>
          <w:rFonts w:ascii="Times New Roman" w:hAnsi="Times New Roman" w:cs="Times New Roman"/>
          <w:sz w:val="24"/>
          <w:szCs w:val="24"/>
        </w:rPr>
        <w:t>)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или при их отсутствии, рекомендованных Минстроем РФ</w:t>
      </w:r>
      <w:r w:rsidR="009C4E79" w:rsidRPr="00100F53">
        <w:rPr>
          <w:rFonts w:ascii="Times New Roman" w:hAnsi="Times New Roman" w:cs="Times New Roman"/>
          <w:sz w:val="24"/>
          <w:szCs w:val="24"/>
        </w:rPr>
        <w:t>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Индексы изменения сметной стоимости не должны превышать установленные предельные индексы: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фирменной сметно-нормативной базе ОАО «Тюменьэнерго» утвержденных приказом и размещенных на официальном сайте организации;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БЦР установленных ОАО «ЦКБ Энергоремонт» на год, соответствующий закупке.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ТЕР (ФЕР), установленных Минстроем РФ на момент проведения закупки.</w:t>
      </w:r>
    </w:p>
    <w:p w:rsidR="003C6BCA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рамках одного договора допускается применение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как основной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сметно-нормативной базы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413562" w:rsidRPr="00100F53">
        <w:rPr>
          <w:rFonts w:ascii="Times New Roman" w:hAnsi="Times New Roman" w:cs="Times New Roman"/>
          <w:sz w:val="24"/>
          <w:szCs w:val="24"/>
        </w:rPr>
        <w:t>, так и других сметно</w:t>
      </w:r>
      <w:r w:rsidR="003C6BCA">
        <w:rPr>
          <w:rFonts w:ascii="Times New Roman" w:hAnsi="Times New Roman" w:cs="Times New Roman"/>
          <w:sz w:val="24"/>
          <w:szCs w:val="24"/>
        </w:rPr>
        <w:t>-нормативных баз и справочников. Основными справочниками для формирования сметных расчетов являются (по приоритету):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Фирменная сметно-нормативная база ОАО «Тюменьэнерго»: Единичные расценки ЕРро-2012 фирменной сметно-нормативной базы на техническое обслуживание и ремонт электрооборудования,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 ОАО Тюменьэнерго»;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Справочник «Базовые цены на работы по ремонту энергетического оборудования, адекватные условиям функционирования конкурентного рынка услуг по ремонту и техперевооружению» (разработанный ОАО «ЦКБ  Энергоремонт», введенный в действие с 01.01.2004), и все дополнения к нему.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C6BCA">
        <w:rPr>
          <w:rFonts w:ascii="Times New Roman" w:hAnsi="Times New Roman" w:cs="Times New Roman"/>
          <w:sz w:val="24"/>
          <w:szCs w:val="24"/>
        </w:rPr>
        <w:t>Территориальные единичные расценки (ТЕР), Федеральные единичные расценки (ФЕР) в базисных ценах 2001г. (в редакции 2010 года)</w:t>
      </w:r>
    </w:p>
    <w:p w:rsidR="00413562" w:rsidRPr="00100F53" w:rsidRDefault="00413562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3C6BCA">
        <w:rPr>
          <w:rFonts w:ascii="Times New Roman" w:hAnsi="Times New Roman" w:cs="Times New Roman"/>
          <w:sz w:val="24"/>
          <w:szCs w:val="24"/>
        </w:rPr>
        <w:t xml:space="preserve"> </w:t>
      </w:r>
      <w:r w:rsidRPr="00100F53">
        <w:rPr>
          <w:rFonts w:ascii="Times New Roman" w:hAnsi="Times New Roman" w:cs="Times New Roman"/>
          <w:sz w:val="24"/>
          <w:szCs w:val="24"/>
        </w:rPr>
        <w:t>для формирования предельной цены закупки производит расчет в фирменной сметно-нормативной базе</w:t>
      </w:r>
      <w:r w:rsidR="00A56999">
        <w:rPr>
          <w:rFonts w:ascii="Times New Roman" w:hAnsi="Times New Roman" w:cs="Times New Roman"/>
          <w:sz w:val="24"/>
          <w:szCs w:val="24"/>
        </w:rPr>
        <w:t xml:space="preserve"> на техническое обслуживание и ремонт электрооборудование,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</w:t>
      </w:r>
      <w:r w:rsidR="009C4E79" w:rsidRPr="00100F53">
        <w:rPr>
          <w:rFonts w:ascii="Times New Roman" w:hAnsi="Times New Roman" w:cs="Times New Roman"/>
          <w:sz w:val="24"/>
          <w:szCs w:val="24"/>
        </w:rPr>
        <w:t>.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52D7" w:rsidRPr="00100F53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 формировании сметной стоимости </w:t>
      </w:r>
      <w:r w:rsidR="00413562" w:rsidRPr="00100F53">
        <w:rPr>
          <w:rFonts w:ascii="Times New Roman" w:hAnsi="Times New Roman" w:cs="Times New Roman"/>
          <w:sz w:val="24"/>
          <w:szCs w:val="24"/>
        </w:rPr>
        <w:t xml:space="preserve">Участник  должен не 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допускать заведомо заниженного ценового предложения от цены закупки. При снижении стоимости </w:t>
      </w:r>
      <w:r w:rsidR="00A07CD9" w:rsidRPr="00100F53">
        <w:rPr>
          <w:rFonts w:ascii="Times New Roman" w:hAnsi="Times New Roman" w:cs="Times New Roman"/>
          <w:sz w:val="24"/>
          <w:szCs w:val="24"/>
        </w:rPr>
        <w:t>закупки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более чем на 2</w:t>
      </w:r>
      <w:r w:rsidR="00E04F88">
        <w:rPr>
          <w:rFonts w:ascii="Times New Roman" w:hAnsi="Times New Roman" w:cs="Times New Roman"/>
          <w:sz w:val="24"/>
          <w:szCs w:val="24"/>
        </w:rPr>
        <w:t>5</w:t>
      </w:r>
      <w:r w:rsidR="00CB52D7" w:rsidRPr="00100F53">
        <w:rPr>
          <w:rFonts w:ascii="Times New Roman" w:hAnsi="Times New Roman" w:cs="Times New Roman"/>
          <w:sz w:val="24"/>
          <w:szCs w:val="24"/>
        </w:rPr>
        <w:t>% заказчик оставляет за собой право запросить необходимые обосновывающие материалы.</w:t>
      </w:r>
    </w:p>
    <w:p w:rsidR="00CB52D7" w:rsidRPr="00100F53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Коммерческое предложение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частника не должно превышать начальную (предельную) цену лота, указанную в закупочной документации. </w:t>
      </w:r>
    </w:p>
    <w:p w:rsidR="00CB52D7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Сводный сметный расчет на техническое обслуживание и ремонт электротехнического оборудования составляется при наличии более одного локального сметного расчета.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оформлению сметных расчетов: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сметного расчета должны быть заполнены полностью, наименования объектов должны быть указаны без сокращений, нумерация локальных смет должна быть сквозной в рамках одного договора;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локальном сметном расчете необходимо дополнительно указать должность, ФИО, контактные данные лица составившего расчет, дату составления расчета. 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Представленные в заявке расчеты и обоснования не должны содержать арифметических или технических ошибок, исправление которых меняет цену заявки. В случае выявления арифметических ошибок при подсчете общих сумм в конкурсной заявке Заказчик (Организатор) конкурса оставляет за собой право с письменного согласия Участника пересчитать общую сумму.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наличие в сметном расчете прочих затрат (командировочные, транспортные, вахтовые и т.п.) не допускается их указание одной строкой без расшифровки, необходима более подробная их детализация в дополнительном расчете, прилагаемом к смете или непосредственно в строке локальной сметы.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вычислений и итоговые данные в сметной документации необходимо привести следующим образом: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локальных сметах построчные и итоговые цифры должны быть в рублях с округлением до двух знаков после запятой;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сводных сметных расчетах стоимости в рублях с округлением до двух знаков после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запятой.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локального сметного расчета должна быть полной (17 граф), включать информацию по количеству трудозатрат (за исключением составления расчета с применением справочников, в которых трудозатраты не отражаются) и расшифровку ресурсов, включенных в расценку. Данное требование осуществляется при выгрузке сметного расчета из программного комплекса в формат Excel с установлением соответствующих параметров выгрузки.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Особенности применения коэффициентов, учитывающих условия</w:t>
      </w:r>
      <w:r w:rsidRPr="008C0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производства работ: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случаях, когда по производственным условиям возможно полное снятие напряжения в охранной зоне действующей линии электропередач/РП/КТП, коэффициент на условия производства работ вблизи объектов находящихся под напряжением не применяется. В Техническом задании должны быть указаны условия производства  работ: с отключением или без отключения РП/КТП/ВЛ или отключение только одной цепи 2-х цепной ВЛ и т.п.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Материальные ресурсы, не учтенные расценками: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предоставлении сметного расчета, в котором материальные ресурсы представлены за расценкой в текущих ценах, необходимо в столбец «обоснование» внести подтверждение их стоимости ссылкой на источник</w:t>
      </w:r>
    </w:p>
    <w:p w:rsidR="003C6BCA" w:rsidRPr="001B5476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Транспортные расходы</w:t>
      </w:r>
      <w:r w:rsid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Включаются в смету отдельным разделом. Определяются на основании сборников цен на перевозку грузов: в фирменной сметно-нормативной базе – ССЦпг-2012; в ТЕР (ФЕР) – сборники на перевозку грузов.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Перебазировка и/или перегон автотранспортной техники от места базирования к месту производства работ включается в смету на основании расчета,  по количеству м/часов необходимых для доставки транспортных средств к месту работ.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техника не может быть доставлена своим ходом к месту производства работ – осуществляется ее перебазировка. Сам перебазируемый транспорт не включается в локальный сметный расчет.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м/часов необходимых для перегона автотранспортных средств, перебазировки техники должны прилагаться к локальным сметам или прописывается детально в соответствующей строке локальной сметы.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работы автотранспортной и спецтехники включена в расценки сметно-нормативных баз и не должна дополнительно включаться в локальную смету.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перебазировку и перегон техники между объектами при выполнении работ принимаются в случае наличия обосновывающих расчетов, прилагаемых к смете.</w:t>
      </w:r>
    </w:p>
    <w:p w:rsidR="003C6BCA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Зимние удорожания: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работ по ремонту оборудования в зимних условиях на открытом воздухе и в необогреваемых помещениях применяется зимний коэффициент Кз, учитывающие дополнительные затраты.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длительности работ – один месяц, можно применять коэффициент, дифференцированный для конкретной территориальной зоны ОАО «Тюменьэнерго» и температурной зоны в зависимости от температурных условий зимнего периода. Температурная зона и продолжительность зимнего периода для каждого конкретного объекта (территориальной зоны) определяются в соответствии с территориальным делением независимо от фактической температуры наружного воздуха при производстве работ на основании Приложения 1 Сборника сметных норм дополнительных затрат при производстве строительно-монтажных работ в зимнее время ГСН 81-05-02-2007 (письмо Росстроя от 28.03.2007 № СК-1221/02). 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продолжительности работ более 1 месяца необходимо применять среднегодовой коэффициент.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Накладные расходы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начисляются в соответствии с</w:t>
      </w: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требованиями установленными Порядком применения сборников соответствующей сметно-нормативной базы.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Резерв средств на непредвиденные работы и затраты </w:t>
      </w: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от итога локального сметного расчета  в размере, рекомендуемом п. 4.96 МДС 81-35.2004:  не более 3% для объектов производственного назначения;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130" w:right="141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Налог на добавленную стоимость</w:t>
      </w:r>
      <w:r w:rsidRPr="001B5476">
        <w:rPr>
          <w:rFonts w:ascii="Times New Roman" w:hAnsi="Times New Roman" w:cs="Times New Roman"/>
          <w:sz w:val="24"/>
          <w:szCs w:val="24"/>
        </w:rPr>
        <w:t xml:space="preserve"> указывается в каждом локальном сметном расчете. Сводный сметный расчет должен содержать стоимость в рублях без учета и с учетом НДС. 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0" w:line="240" w:lineRule="auto"/>
        <w:ind w:left="0" w:right="141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Коэффициент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итогового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снижения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стоимости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(т.е. </w:t>
      </w:r>
      <w:r w:rsidR="008A4B63"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тендерн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ый коэффициент)</w:t>
      </w:r>
      <w:r w:rsidR="008A4B63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применяется для снижения предельной цены для обеспечения конкурентных преимуществ. Коэффициент </w:t>
      </w:r>
      <w:r w:rsidR="008A4B63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 w:rsidRPr="00A56B6A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указывается отдельной строкой и применяется к итогу локального сметного расчета, до начисления НДС. </w:t>
      </w:r>
      <w:r w:rsidRPr="005C0E1B">
        <w:rPr>
          <w:rFonts w:ascii="Times New Roman" w:hAnsi="Times New Roman"/>
          <w:sz w:val="24"/>
          <w:szCs w:val="24"/>
          <w:lang w:eastAsia="ru-RU"/>
        </w:rPr>
        <w:t xml:space="preserve">Коэффициент </w:t>
      </w:r>
      <w:r w:rsidR="00A56B6A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="00A56B6A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hAnsi="Times New Roman"/>
          <w:sz w:val="24"/>
          <w:szCs w:val="24"/>
          <w:lang w:eastAsia="ru-RU"/>
        </w:rPr>
        <w:t>должен быть одинаковый во всех локальных сметных расчетах в рамках одного договора.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Запрещается снижени</w:t>
      </w:r>
      <w:r w:rsidR="00A56B6A">
        <w:rPr>
          <w:rFonts w:ascii="Times New Roman" w:hAnsi="Times New Roman"/>
          <w:sz w:val="24"/>
          <w:szCs w:val="24"/>
          <w:lang w:eastAsia="ru-RU"/>
        </w:rPr>
        <w:t>е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сметной стоимости за счет применения понижающих коэффициентов к 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предельным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>индексам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 xml:space="preserve"> изменения сметной стоимости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по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стать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ям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 затрат</w:t>
      </w:r>
      <w:r w:rsidR="00A56B6A">
        <w:rPr>
          <w:rFonts w:ascii="Times New Roman" w:hAnsi="Times New Roman"/>
          <w:sz w:val="24"/>
          <w:szCs w:val="24"/>
          <w:lang w:eastAsia="ru-RU"/>
        </w:rPr>
        <w:t>, нормативу накладных расходов и сметной прибыли</w:t>
      </w:r>
      <w:r w:rsidR="005C0E1B">
        <w:rPr>
          <w:rFonts w:ascii="Times New Roman" w:hAnsi="Times New Roman"/>
          <w:sz w:val="24"/>
          <w:szCs w:val="24"/>
          <w:lang w:eastAsia="ru-RU"/>
        </w:rPr>
        <w:t>.</w:t>
      </w:r>
    </w:p>
    <w:sectPr w:rsidR="001B5476" w:rsidRPr="001B5476" w:rsidSect="00485EB5">
      <w:headerReference w:type="default" r:id="rId8"/>
      <w:footerReference w:type="default" r:id="rId9"/>
      <w:pgSz w:w="11906" w:h="16838"/>
      <w:pgMar w:top="851" w:right="850" w:bottom="851" w:left="1701" w:header="142" w:footer="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1BA" w:rsidRDefault="005441BA" w:rsidP="00413562">
      <w:pPr>
        <w:spacing w:after="0" w:line="240" w:lineRule="auto"/>
      </w:pPr>
      <w:r>
        <w:separator/>
      </w:r>
    </w:p>
  </w:endnote>
  <w:endnote w:type="continuationSeparator" w:id="0">
    <w:p w:rsidR="005441BA" w:rsidRDefault="005441BA" w:rsidP="00413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152389381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3562" w:rsidRP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485EB5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485EB5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13562" w:rsidRDefault="0041356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1BA" w:rsidRDefault="005441BA" w:rsidP="00413562">
      <w:pPr>
        <w:spacing w:after="0" w:line="240" w:lineRule="auto"/>
      </w:pPr>
      <w:r>
        <w:separator/>
      </w:r>
    </w:p>
  </w:footnote>
  <w:footnote w:type="continuationSeparator" w:id="0">
    <w:p w:rsidR="005441BA" w:rsidRDefault="005441BA" w:rsidP="00413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5EB5" w:rsidRPr="00485EB5" w:rsidRDefault="00485EB5" w:rsidP="00485EB5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r w:rsidRPr="00485EB5">
      <w:rPr>
        <w:rFonts w:ascii="Times New Roman" w:hAnsi="Times New Roman" w:cs="Times New Roman"/>
        <w:sz w:val="24"/>
        <w:szCs w:val="24"/>
      </w:rPr>
      <w:t>Приложение 5 к КД</w:t>
    </w:r>
  </w:p>
  <w:p w:rsidR="00485EB5" w:rsidRDefault="00485EB5" w:rsidP="00485EB5">
    <w:pPr>
      <w:pStyle w:val="ab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F3A9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6031F89"/>
    <w:multiLevelType w:val="hybridMultilevel"/>
    <w:tmpl w:val="0D6AE0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7C5176F"/>
    <w:multiLevelType w:val="hybridMultilevel"/>
    <w:tmpl w:val="81948C30"/>
    <w:lvl w:ilvl="0" w:tplc="0419000F">
      <w:start w:val="1"/>
      <w:numFmt w:val="decimal"/>
      <w:lvlText w:val="%1."/>
      <w:lvlJc w:val="left"/>
      <w:pPr>
        <w:ind w:left="992" w:hanging="360"/>
      </w:pPr>
    </w:lvl>
    <w:lvl w:ilvl="1" w:tplc="04190019" w:tentative="1">
      <w:start w:val="1"/>
      <w:numFmt w:val="lowerLetter"/>
      <w:lvlText w:val="%2."/>
      <w:lvlJc w:val="left"/>
      <w:pPr>
        <w:ind w:left="1712" w:hanging="360"/>
      </w:pPr>
    </w:lvl>
    <w:lvl w:ilvl="2" w:tplc="0419001B" w:tentative="1">
      <w:start w:val="1"/>
      <w:numFmt w:val="lowerRoman"/>
      <w:lvlText w:val="%3."/>
      <w:lvlJc w:val="right"/>
      <w:pPr>
        <w:ind w:left="2432" w:hanging="180"/>
      </w:pPr>
    </w:lvl>
    <w:lvl w:ilvl="3" w:tplc="0419000F" w:tentative="1">
      <w:start w:val="1"/>
      <w:numFmt w:val="decimal"/>
      <w:lvlText w:val="%4."/>
      <w:lvlJc w:val="left"/>
      <w:pPr>
        <w:ind w:left="3152" w:hanging="360"/>
      </w:pPr>
    </w:lvl>
    <w:lvl w:ilvl="4" w:tplc="04190019" w:tentative="1">
      <w:start w:val="1"/>
      <w:numFmt w:val="lowerLetter"/>
      <w:lvlText w:val="%5."/>
      <w:lvlJc w:val="left"/>
      <w:pPr>
        <w:ind w:left="3872" w:hanging="360"/>
      </w:pPr>
    </w:lvl>
    <w:lvl w:ilvl="5" w:tplc="0419001B" w:tentative="1">
      <w:start w:val="1"/>
      <w:numFmt w:val="lowerRoman"/>
      <w:lvlText w:val="%6."/>
      <w:lvlJc w:val="right"/>
      <w:pPr>
        <w:ind w:left="4592" w:hanging="180"/>
      </w:pPr>
    </w:lvl>
    <w:lvl w:ilvl="6" w:tplc="0419000F" w:tentative="1">
      <w:start w:val="1"/>
      <w:numFmt w:val="decimal"/>
      <w:lvlText w:val="%7."/>
      <w:lvlJc w:val="left"/>
      <w:pPr>
        <w:ind w:left="5312" w:hanging="360"/>
      </w:pPr>
    </w:lvl>
    <w:lvl w:ilvl="7" w:tplc="04190019" w:tentative="1">
      <w:start w:val="1"/>
      <w:numFmt w:val="lowerLetter"/>
      <w:lvlText w:val="%8."/>
      <w:lvlJc w:val="left"/>
      <w:pPr>
        <w:ind w:left="6032" w:hanging="360"/>
      </w:pPr>
    </w:lvl>
    <w:lvl w:ilvl="8" w:tplc="041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3" w15:restartNumberingAfterBreak="0">
    <w:nsid w:val="2AF83024"/>
    <w:multiLevelType w:val="hybridMultilevel"/>
    <w:tmpl w:val="14FC58F2"/>
    <w:lvl w:ilvl="0" w:tplc="FF309434">
      <w:start w:val="1"/>
      <w:numFmt w:val="bullet"/>
      <w:lvlText w:val=""/>
      <w:lvlJc w:val="left"/>
      <w:pPr>
        <w:ind w:left="11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9" w:hanging="360"/>
      </w:pPr>
      <w:rPr>
        <w:rFonts w:ascii="Wingdings" w:hAnsi="Wingdings" w:hint="default"/>
      </w:rPr>
    </w:lvl>
  </w:abstractNum>
  <w:abstractNum w:abstractNumId="4" w15:restartNumberingAfterBreak="0">
    <w:nsid w:val="2FE07352"/>
    <w:multiLevelType w:val="hybridMultilevel"/>
    <w:tmpl w:val="3C2262A8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D34A7A"/>
    <w:multiLevelType w:val="multilevel"/>
    <w:tmpl w:val="7A4E7F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A852405"/>
    <w:multiLevelType w:val="multilevel"/>
    <w:tmpl w:val="312CF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AFB4BFD"/>
    <w:multiLevelType w:val="hybridMultilevel"/>
    <w:tmpl w:val="0838B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524088"/>
    <w:multiLevelType w:val="hybridMultilevel"/>
    <w:tmpl w:val="FF16BB2E"/>
    <w:lvl w:ilvl="0" w:tplc="61C2B11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A4024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93730E2"/>
    <w:multiLevelType w:val="hybridMultilevel"/>
    <w:tmpl w:val="0C3A5A66"/>
    <w:lvl w:ilvl="0" w:tplc="FF3094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A1A29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F794C98"/>
    <w:multiLevelType w:val="hybridMultilevel"/>
    <w:tmpl w:val="8166B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2"/>
  </w:num>
  <w:num w:numId="5">
    <w:abstractNumId w:val="1"/>
  </w:num>
  <w:num w:numId="6">
    <w:abstractNumId w:val="2"/>
  </w:num>
  <w:num w:numId="7">
    <w:abstractNumId w:val="5"/>
  </w:num>
  <w:num w:numId="8">
    <w:abstractNumId w:val="10"/>
  </w:num>
  <w:num w:numId="9">
    <w:abstractNumId w:val="0"/>
  </w:num>
  <w:num w:numId="10">
    <w:abstractNumId w:val="6"/>
  </w:num>
  <w:num w:numId="11">
    <w:abstractNumId w:val="11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52D7"/>
    <w:rsid w:val="00011F7D"/>
    <w:rsid w:val="00036A53"/>
    <w:rsid w:val="000531C5"/>
    <w:rsid w:val="00070FDF"/>
    <w:rsid w:val="00087F84"/>
    <w:rsid w:val="00091BBE"/>
    <w:rsid w:val="00094513"/>
    <w:rsid w:val="000965EF"/>
    <w:rsid w:val="000B5537"/>
    <w:rsid w:val="000B7774"/>
    <w:rsid w:val="000C1750"/>
    <w:rsid w:val="000D1E5B"/>
    <w:rsid w:val="000D2354"/>
    <w:rsid w:val="000F13A6"/>
    <w:rsid w:val="00100F53"/>
    <w:rsid w:val="00101CB4"/>
    <w:rsid w:val="001107CF"/>
    <w:rsid w:val="00111E73"/>
    <w:rsid w:val="00120017"/>
    <w:rsid w:val="00137AFF"/>
    <w:rsid w:val="00154737"/>
    <w:rsid w:val="0015601F"/>
    <w:rsid w:val="00167206"/>
    <w:rsid w:val="0017332D"/>
    <w:rsid w:val="001835EA"/>
    <w:rsid w:val="0019614E"/>
    <w:rsid w:val="001B5476"/>
    <w:rsid w:val="001D044A"/>
    <w:rsid w:val="001E19D2"/>
    <w:rsid w:val="001E322D"/>
    <w:rsid w:val="001E4C78"/>
    <w:rsid w:val="001E6ECD"/>
    <w:rsid w:val="002028BB"/>
    <w:rsid w:val="00206EA8"/>
    <w:rsid w:val="002210C7"/>
    <w:rsid w:val="00247BBB"/>
    <w:rsid w:val="00273087"/>
    <w:rsid w:val="002770C7"/>
    <w:rsid w:val="00292C0C"/>
    <w:rsid w:val="002B35BD"/>
    <w:rsid w:val="002B5B34"/>
    <w:rsid w:val="002B7EE2"/>
    <w:rsid w:val="002C58C8"/>
    <w:rsid w:val="002D0F6A"/>
    <w:rsid w:val="002E3ABE"/>
    <w:rsid w:val="002E6C2D"/>
    <w:rsid w:val="002F4F4F"/>
    <w:rsid w:val="003229C2"/>
    <w:rsid w:val="0033541B"/>
    <w:rsid w:val="00340617"/>
    <w:rsid w:val="00341E7A"/>
    <w:rsid w:val="00374F32"/>
    <w:rsid w:val="00392D10"/>
    <w:rsid w:val="003A5763"/>
    <w:rsid w:val="003C32F6"/>
    <w:rsid w:val="003C6BCA"/>
    <w:rsid w:val="004001E9"/>
    <w:rsid w:val="00407211"/>
    <w:rsid w:val="0040772B"/>
    <w:rsid w:val="00413562"/>
    <w:rsid w:val="00422B9B"/>
    <w:rsid w:val="00431717"/>
    <w:rsid w:val="004326B2"/>
    <w:rsid w:val="0045360F"/>
    <w:rsid w:val="004716BE"/>
    <w:rsid w:val="004824F4"/>
    <w:rsid w:val="00483DDB"/>
    <w:rsid w:val="00485EB5"/>
    <w:rsid w:val="004A2020"/>
    <w:rsid w:val="004B0B58"/>
    <w:rsid w:val="004B3C8F"/>
    <w:rsid w:val="004B593F"/>
    <w:rsid w:val="004C1A19"/>
    <w:rsid w:val="004C7B87"/>
    <w:rsid w:val="004D30B8"/>
    <w:rsid w:val="004D57B6"/>
    <w:rsid w:val="004D7520"/>
    <w:rsid w:val="004F01EB"/>
    <w:rsid w:val="004F55E0"/>
    <w:rsid w:val="004F6AAF"/>
    <w:rsid w:val="0050042C"/>
    <w:rsid w:val="00502759"/>
    <w:rsid w:val="0051463A"/>
    <w:rsid w:val="00515C57"/>
    <w:rsid w:val="0051791A"/>
    <w:rsid w:val="005227DB"/>
    <w:rsid w:val="0053516E"/>
    <w:rsid w:val="0053607B"/>
    <w:rsid w:val="0053700B"/>
    <w:rsid w:val="005418E7"/>
    <w:rsid w:val="005441BA"/>
    <w:rsid w:val="005454D4"/>
    <w:rsid w:val="00550E7A"/>
    <w:rsid w:val="005768C6"/>
    <w:rsid w:val="005A0A71"/>
    <w:rsid w:val="005A2073"/>
    <w:rsid w:val="005A3893"/>
    <w:rsid w:val="005B09EA"/>
    <w:rsid w:val="005C0E1B"/>
    <w:rsid w:val="005E3A45"/>
    <w:rsid w:val="006022A9"/>
    <w:rsid w:val="00627B26"/>
    <w:rsid w:val="00655BC4"/>
    <w:rsid w:val="00685DA0"/>
    <w:rsid w:val="006933C7"/>
    <w:rsid w:val="006A31AA"/>
    <w:rsid w:val="006C57E9"/>
    <w:rsid w:val="006C5833"/>
    <w:rsid w:val="006D05D5"/>
    <w:rsid w:val="006D75F4"/>
    <w:rsid w:val="006E3E24"/>
    <w:rsid w:val="006F79B8"/>
    <w:rsid w:val="007035C6"/>
    <w:rsid w:val="007175F9"/>
    <w:rsid w:val="00730E83"/>
    <w:rsid w:val="00746E56"/>
    <w:rsid w:val="0075264F"/>
    <w:rsid w:val="00776D2C"/>
    <w:rsid w:val="007B4E5A"/>
    <w:rsid w:val="007C52A0"/>
    <w:rsid w:val="007C7CD4"/>
    <w:rsid w:val="007E435A"/>
    <w:rsid w:val="00801A87"/>
    <w:rsid w:val="0080393C"/>
    <w:rsid w:val="00823397"/>
    <w:rsid w:val="008377FA"/>
    <w:rsid w:val="008A37C6"/>
    <w:rsid w:val="008A4858"/>
    <w:rsid w:val="008A4B63"/>
    <w:rsid w:val="008B40E3"/>
    <w:rsid w:val="008C0A75"/>
    <w:rsid w:val="008C608C"/>
    <w:rsid w:val="008D099D"/>
    <w:rsid w:val="008E438E"/>
    <w:rsid w:val="008F06F0"/>
    <w:rsid w:val="008F4F78"/>
    <w:rsid w:val="00903773"/>
    <w:rsid w:val="00906974"/>
    <w:rsid w:val="00944BB2"/>
    <w:rsid w:val="0094635D"/>
    <w:rsid w:val="00960870"/>
    <w:rsid w:val="00964FC8"/>
    <w:rsid w:val="00972425"/>
    <w:rsid w:val="00992947"/>
    <w:rsid w:val="009957E3"/>
    <w:rsid w:val="009B0AEF"/>
    <w:rsid w:val="009C1A75"/>
    <w:rsid w:val="009C4E79"/>
    <w:rsid w:val="009D54D2"/>
    <w:rsid w:val="009E6777"/>
    <w:rsid w:val="00A01250"/>
    <w:rsid w:val="00A07CD9"/>
    <w:rsid w:val="00A16E95"/>
    <w:rsid w:val="00A42F58"/>
    <w:rsid w:val="00A50FB7"/>
    <w:rsid w:val="00A56999"/>
    <w:rsid w:val="00A56B6A"/>
    <w:rsid w:val="00A722F3"/>
    <w:rsid w:val="00A7392E"/>
    <w:rsid w:val="00A91799"/>
    <w:rsid w:val="00AA0BF6"/>
    <w:rsid w:val="00AB18D5"/>
    <w:rsid w:val="00AB2CB8"/>
    <w:rsid w:val="00AB2D28"/>
    <w:rsid w:val="00AB3BAD"/>
    <w:rsid w:val="00AB418B"/>
    <w:rsid w:val="00AB6D73"/>
    <w:rsid w:val="00AD7805"/>
    <w:rsid w:val="00AF4316"/>
    <w:rsid w:val="00B05B51"/>
    <w:rsid w:val="00B1188F"/>
    <w:rsid w:val="00B15C24"/>
    <w:rsid w:val="00B2094B"/>
    <w:rsid w:val="00B4384E"/>
    <w:rsid w:val="00B43AF1"/>
    <w:rsid w:val="00B53A6B"/>
    <w:rsid w:val="00B61B4F"/>
    <w:rsid w:val="00B74DD0"/>
    <w:rsid w:val="00B9422F"/>
    <w:rsid w:val="00BB3D4B"/>
    <w:rsid w:val="00BC0516"/>
    <w:rsid w:val="00BC09FD"/>
    <w:rsid w:val="00BC72BD"/>
    <w:rsid w:val="00BD6FCB"/>
    <w:rsid w:val="00BE636B"/>
    <w:rsid w:val="00BF4475"/>
    <w:rsid w:val="00BF5334"/>
    <w:rsid w:val="00C0167F"/>
    <w:rsid w:val="00C21B4A"/>
    <w:rsid w:val="00C234E9"/>
    <w:rsid w:val="00C24D19"/>
    <w:rsid w:val="00C26E29"/>
    <w:rsid w:val="00C27757"/>
    <w:rsid w:val="00C37B6C"/>
    <w:rsid w:val="00C44B38"/>
    <w:rsid w:val="00C47CA0"/>
    <w:rsid w:val="00C74483"/>
    <w:rsid w:val="00C86E12"/>
    <w:rsid w:val="00C87F19"/>
    <w:rsid w:val="00C9493D"/>
    <w:rsid w:val="00CA2242"/>
    <w:rsid w:val="00CA7225"/>
    <w:rsid w:val="00CB2AC3"/>
    <w:rsid w:val="00CB363D"/>
    <w:rsid w:val="00CB52D7"/>
    <w:rsid w:val="00CB679F"/>
    <w:rsid w:val="00CC1A92"/>
    <w:rsid w:val="00CC74FF"/>
    <w:rsid w:val="00CE0B0C"/>
    <w:rsid w:val="00CE5D16"/>
    <w:rsid w:val="00D1522A"/>
    <w:rsid w:val="00D2169A"/>
    <w:rsid w:val="00D21B01"/>
    <w:rsid w:val="00D23EA5"/>
    <w:rsid w:val="00D34398"/>
    <w:rsid w:val="00D345E6"/>
    <w:rsid w:val="00D42EAD"/>
    <w:rsid w:val="00D46B80"/>
    <w:rsid w:val="00D50F34"/>
    <w:rsid w:val="00D52ABD"/>
    <w:rsid w:val="00D545E2"/>
    <w:rsid w:val="00D56869"/>
    <w:rsid w:val="00D636D6"/>
    <w:rsid w:val="00D64991"/>
    <w:rsid w:val="00D94CBF"/>
    <w:rsid w:val="00DA2A65"/>
    <w:rsid w:val="00DA5A2A"/>
    <w:rsid w:val="00DC1256"/>
    <w:rsid w:val="00DC70C8"/>
    <w:rsid w:val="00DC7E06"/>
    <w:rsid w:val="00DD1186"/>
    <w:rsid w:val="00DF219C"/>
    <w:rsid w:val="00E01200"/>
    <w:rsid w:val="00E03FA6"/>
    <w:rsid w:val="00E04F88"/>
    <w:rsid w:val="00E327A7"/>
    <w:rsid w:val="00E401A8"/>
    <w:rsid w:val="00E426CC"/>
    <w:rsid w:val="00E60B54"/>
    <w:rsid w:val="00E7081D"/>
    <w:rsid w:val="00E71875"/>
    <w:rsid w:val="00E72529"/>
    <w:rsid w:val="00E73C44"/>
    <w:rsid w:val="00EE023E"/>
    <w:rsid w:val="00EF4550"/>
    <w:rsid w:val="00F045BD"/>
    <w:rsid w:val="00F07C48"/>
    <w:rsid w:val="00F10001"/>
    <w:rsid w:val="00F15D19"/>
    <w:rsid w:val="00F1662F"/>
    <w:rsid w:val="00F16EA9"/>
    <w:rsid w:val="00F44D55"/>
    <w:rsid w:val="00F460F4"/>
    <w:rsid w:val="00F55B21"/>
    <w:rsid w:val="00F85358"/>
    <w:rsid w:val="00F870B6"/>
    <w:rsid w:val="00FB5B9D"/>
    <w:rsid w:val="00FE0977"/>
    <w:rsid w:val="00FF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569E1E"/>
  <w15:docId w15:val="{AB34959F-0F35-4BCF-8F67-FBCEE1CFD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52D7"/>
    <w:pPr>
      <w:ind w:left="720"/>
      <w:contextualSpacing/>
    </w:pPr>
  </w:style>
  <w:style w:type="paragraph" w:customStyle="1" w:styleId="a4">
    <w:name w:val="a4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a5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9C4E7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C4E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9C4E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340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40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61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13562"/>
  </w:style>
  <w:style w:type="paragraph" w:styleId="ad">
    <w:name w:val="footer"/>
    <w:basedOn w:val="a"/>
    <w:link w:val="ae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135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16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1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0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3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456BD-FBE7-4C0E-80FD-BF966CFC9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1383</Words>
  <Characters>7887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9252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SukhenkoM</dc:creator>
  <cp:keywords/>
  <dc:description/>
  <cp:lastModifiedBy>Маликова Альбина Наильевна</cp:lastModifiedBy>
  <cp:revision>6</cp:revision>
  <cp:lastPrinted>2014-09-09T08:01:00Z</cp:lastPrinted>
  <dcterms:created xsi:type="dcterms:W3CDTF">2014-09-09T07:54:00Z</dcterms:created>
  <dcterms:modified xsi:type="dcterms:W3CDTF">2018-09-24T10:42:00Z</dcterms:modified>
</cp:coreProperties>
</file>